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8E" w:rsidRPr="009A6579" w:rsidRDefault="0053588E" w:rsidP="00DE798D">
      <w:pPr>
        <w:spacing w:line="240" w:lineRule="exact"/>
        <w:rPr>
          <w:rFonts w:ascii="微软雅黑" w:eastAsia="微软雅黑" w:hAnsi="微软雅黑" w:cs="仿宋_GB2312" w:hint="eastAsia"/>
          <w:sz w:val="22"/>
          <w:szCs w:val="22"/>
        </w:rPr>
      </w:pPr>
    </w:p>
    <w:p w:rsidR="002525CE" w:rsidRPr="009A6579" w:rsidRDefault="009F0DE5" w:rsidP="00DE798D">
      <w:pPr>
        <w:spacing w:line="600" w:lineRule="exact"/>
        <w:jc w:val="center"/>
        <w:rPr>
          <w:rFonts w:ascii="微软雅黑" w:eastAsia="微软雅黑" w:hAnsi="微软雅黑" w:cs="仿宋_GB2312"/>
          <w:b/>
          <w:color w:val="7030A0"/>
          <w:sz w:val="40"/>
          <w:szCs w:val="40"/>
        </w:rPr>
      </w:pPr>
      <w:r w:rsidRPr="009A6579">
        <w:rPr>
          <w:rFonts w:ascii="微软雅黑" w:eastAsia="微软雅黑" w:hAnsi="微软雅黑" w:cs="仿宋_GB2312" w:hint="eastAsia"/>
          <w:b/>
          <w:color w:val="7030A0"/>
          <w:sz w:val="40"/>
          <w:szCs w:val="40"/>
        </w:rPr>
        <w:t>最高人民法院　最高人民检察院</w:t>
      </w:r>
    </w:p>
    <w:p w:rsidR="002525CE" w:rsidRPr="009A6579" w:rsidRDefault="009F0DE5" w:rsidP="00DE798D">
      <w:pPr>
        <w:spacing w:line="600" w:lineRule="exact"/>
        <w:jc w:val="center"/>
        <w:rPr>
          <w:rFonts w:ascii="微软雅黑" w:eastAsia="微软雅黑" w:hAnsi="微软雅黑" w:cs="仿宋_GB2312"/>
          <w:b/>
          <w:color w:val="7030A0"/>
          <w:sz w:val="40"/>
          <w:szCs w:val="40"/>
        </w:rPr>
      </w:pPr>
      <w:r w:rsidRPr="009A6579">
        <w:rPr>
          <w:rFonts w:ascii="微软雅黑" w:eastAsia="微软雅黑" w:hAnsi="微软雅黑" w:cs="仿宋_GB2312" w:hint="eastAsia"/>
          <w:b/>
          <w:color w:val="7030A0"/>
          <w:sz w:val="40"/>
          <w:szCs w:val="40"/>
        </w:rPr>
        <w:t>关于办理强奸、猥亵未成年人刑事案件</w:t>
      </w:r>
    </w:p>
    <w:p w:rsidR="002525CE" w:rsidRPr="009A6579" w:rsidRDefault="009F0DE5" w:rsidP="00DE798D">
      <w:pPr>
        <w:spacing w:line="600" w:lineRule="exact"/>
        <w:jc w:val="center"/>
        <w:rPr>
          <w:rFonts w:ascii="微软雅黑" w:eastAsia="微软雅黑" w:hAnsi="微软雅黑" w:cs="仿宋_GB2312"/>
          <w:b/>
          <w:color w:val="7030A0"/>
          <w:sz w:val="40"/>
          <w:szCs w:val="40"/>
        </w:rPr>
      </w:pPr>
      <w:r w:rsidRPr="009A6579">
        <w:rPr>
          <w:rFonts w:ascii="微软雅黑" w:eastAsia="微软雅黑" w:hAnsi="微软雅黑" w:cs="仿宋_GB2312" w:hint="eastAsia"/>
          <w:b/>
          <w:color w:val="7030A0"/>
          <w:sz w:val="40"/>
          <w:szCs w:val="40"/>
        </w:rPr>
        <w:t>适用法律若干问题的解释</w:t>
      </w:r>
      <w:bookmarkStart w:id="0" w:name="_GoBack"/>
      <w:bookmarkEnd w:id="0"/>
    </w:p>
    <w:p w:rsidR="002525CE" w:rsidRDefault="002525CE" w:rsidP="00DE798D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780293" w:rsidRDefault="00780293" w:rsidP="00DE798D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</w:t>
      </w:r>
      <w:r>
        <w:rPr>
          <w:rFonts w:ascii="微软雅黑" w:eastAsia="微软雅黑" w:hAnsi="微软雅黑" w:cs="宋体"/>
          <w:sz w:val="22"/>
          <w:szCs w:val="22"/>
        </w:rPr>
        <w:t>023-06-01</w:t>
      </w:r>
    </w:p>
    <w:p w:rsidR="00780293" w:rsidRPr="009A6579" w:rsidRDefault="00780293" w:rsidP="00DE798D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2525CE" w:rsidRPr="009A6579" w:rsidRDefault="009F0DE5" w:rsidP="00DE798D">
      <w:pPr>
        <w:spacing w:line="240" w:lineRule="exact"/>
        <w:jc w:val="center"/>
        <w:rPr>
          <w:rFonts w:ascii="微软雅黑" w:eastAsia="微软雅黑" w:hAnsi="微软雅黑"/>
          <w:sz w:val="22"/>
          <w:szCs w:val="22"/>
        </w:rPr>
      </w:pPr>
      <w:r w:rsidRPr="009A6579">
        <w:rPr>
          <w:rFonts w:ascii="微软雅黑" w:eastAsia="微软雅黑" w:hAnsi="微软雅黑"/>
          <w:sz w:val="22"/>
          <w:szCs w:val="22"/>
        </w:rPr>
        <w:t>法释〔2023〕3号</w:t>
      </w:r>
    </w:p>
    <w:p w:rsidR="002525CE" w:rsidRPr="009A6579" w:rsidRDefault="002525CE" w:rsidP="00DE798D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2525CE" w:rsidRPr="0053588E" w:rsidRDefault="009F0DE5" w:rsidP="0053588E">
      <w:pPr>
        <w:spacing w:line="360" w:lineRule="exact"/>
        <w:ind w:leftChars="200" w:left="632" w:rightChars="200" w:right="632" w:firstLineChars="200" w:firstLine="412"/>
        <w:rPr>
          <w:rFonts w:ascii="微软雅黑" w:eastAsia="微软雅黑" w:hAnsi="微软雅黑"/>
          <w:sz w:val="21"/>
          <w:szCs w:val="21"/>
        </w:rPr>
      </w:pPr>
      <w:r w:rsidRPr="0053588E">
        <w:rPr>
          <w:rFonts w:ascii="微软雅黑" w:eastAsia="微软雅黑" w:hAnsi="微软雅黑"/>
          <w:sz w:val="21"/>
          <w:szCs w:val="21"/>
        </w:rPr>
        <w:t>（2023年1月3日最高人民法院审判委员会第1878次会议、2023年3月2日最高人民检察院第十三届检察委员会第一百一十四次会议通过，自2023年6月1日起施行）</w:t>
      </w:r>
    </w:p>
    <w:p w:rsidR="002525CE" w:rsidRPr="0053588E" w:rsidRDefault="002525CE" w:rsidP="0053588E">
      <w:pPr>
        <w:spacing w:line="340" w:lineRule="exact"/>
        <w:rPr>
          <w:rFonts w:ascii="微软雅黑" w:eastAsia="微软雅黑" w:hAnsi="微软雅黑" w:cs="宋体"/>
          <w:sz w:val="24"/>
        </w:rPr>
      </w:pP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为依法惩处强奸、猥亵未成年人犯罪，保护未成年人合法权益，根据《中华人民共和国刑法》等法律规定，现就办理此类刑事案件适用法律的若干问题解释如下：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第一条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奸淫幼女的，依照刑法第二百三十六条第二款的规定从重处罚。具有下列情形之一的，应当适用较重的从重处罚幅度：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（一）负有特殊职责的人员实施奸淫的；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（二）采用暴力、胁迫等手段实施奸淫的；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（三）侵入住宅或者学生集体宿舍实施奸淫的；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（四）对农村留守女童、严重残疾或者精神发育迟滞的被害人实施奸淫的；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（五）利用其他未成年人诱骗、介绍、胁迫被害人的；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（六）曾因强奸、猥亵犯罪被判处刑罚的。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强奸已满十四周岁的未成年女性，具有前款第一项、第三项至第六项规定的情形之一，或者致使被害人轻伤、患梅毒、淋病等严重性病的，依照刑法第二百三十六条第一款的规定定罪，从重处罚。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第二条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强奸已满十四周岁的未成年女性或者奸淫幼女，具有下列情形之一的，应当认定为刑法第二百三十六条第三款第一项规定的“强奸妇女、奸淫幼女情节恶劣”：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（一）负有特殊职责的人员多次实施强奸、奸淫的；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（二）有严重摧残、凌辱行为的；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（三）非法拘禁或者利用毒品诱骗、控制被害人的；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（四）多次利用其他未成年人诱骗、介绍、胁迫被害人的；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（五）长期实施强奸、奸淫的；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（六）奸淫精神发育迟滞的被害人致使怀孕的；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（七）对强奸、奸淫过程或者被害人身体隐私部位制作视频、照片等影像资料，以此胁迫对被害人实施强奸、奸淫，或者致使影像资料向多人传播，暴露被害人身份的；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（八）其他情节恶劣的情形。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第三条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奸淫幼女，具有下列情形之一的，应当认定为刑法第二百三十六条第三款第五项规定的“造成幼女伤害”：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（一）致使幼女轻伤的；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（二）致使幼女患梅毒、淋病等严重性病的；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（三）对幼女身心健康造成其他伤害的情形。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第四条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强奸已满十四周岁的未成年女性或者奸淫幼女，致使其感染艾滋病病毒的，应当认定为刑法第二百三十六第三款第六项规定的“致使被害人重伤”。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第五条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对已满十四周岁不满十六周岁的未成年女性负有特殊职责的人员，与该未成年女性发生性关系，具有下列情形之一的，应当认定为刑法第二百三十六条之一规定的“情节恶劣”：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lastRenderedPageBreak/>
        <w:t>（一）长期发生性关系的；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（二）与多名被害人发生性关系的；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（三）致使被害人感染艾滋病病毒或者患梅毒、淋病等严重性病的；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（四）对发生性关系的过程或者被害人身体隐私部位制作视频、照片等影像资料，致使影像资料向多人传播，暴露被害人身份的；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（五）其他情节恶劣的情形。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第六条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对已满十四周岁的未成年女性负有特殊职责的人员，利用优势地位或者被害人孤立无援的境地，迫使被害人与其发生性关系的，依照刑法第二百三十六条的规定，以强奸罪定罪处罚。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第七条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猥亵儿童，具有下列情形之一的，应当认定为刑法第二百三十七条第三款第三项规定的“造成儿童伤害或者其他严重后果”：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（一）致使儿童轻伤以上的；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（二）致使儿童自残、自杀的；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（三）对儿童身心健康造成其他伤害或者严重后果的情形。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第八条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猥亵儿童，具有下列情形之一的，应当认定为刑法第二百三十七条第三款第四项规定的“猥亵手段恶劣或者有其他恶劣情节”：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（一）以生殖器侵入肛门、口腔或者以生殖器以外的身体部位、物品侵入被害人生殖器、肛门等方式实施猥亵的；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（二）有严重摧残、凌辱行为的；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（三）对猥亵过程或者被害人身体隐私部位制作视频、照片等影像资料，以此胁迫对被害人实施猥亵，或者致使影像资料向多人传播，暴露被害人身份的；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（四）采取其他恶劣手段实施猥亵或者有其他恶劣情节的情形。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第九条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胁迫、诱骗未成年人通过网络视频聊天或者发送视频、照片等方式，暴露身体隐私部位或者实施淫秽行为，符合刑法第二百三十七条规定的，以强制猥亵罪或者猥亵儿童罪定罪处罚。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胁迫、诱骗未成年人通过网络直播方式实施前款行为，同时符合刑法第二百三十七条、第三百六十五条的规定，构成强制猥亵罪、猥亵儿童罪、组织淫秽表演罪的，依照处罚较重的规定定罪处罚。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第十条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实施猥亵未成年人犯罪，造成被害人轻伤以上后果，同时符合刑法第二百三十四条或者第二百三十二条的规定，构成故意伤害罪、故意杀人罪的，依照处罚较重的规定定罪处罚。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第十一条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强奸、猥亵未成年人的成年被告人认罪认罚的，是否从宽处罚及从宽幅度应当从严把握。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第十二条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对强奸未成年人的成年被告人判处刑罚时，一般不适用缓刑。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对于判处刑罚同时宣告缓刑的，可以根据犯罪情况，同时宣告禁止令，禁止犯罪分子在缓刑考验期限内从事与未成年人有关的工作、活动，禁止其进入中小学校、幼儿园及其他未成年人集中的场所。确因本人就学、居住等原因，经执行机关批准的除外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第十三条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对于利用职业便利实施强奸、猥亵未成年人等犯罪的，人民法院应当依法适用从业禁止。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第十四条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对未成年人实施强奸、猥亵等犯罪造成人身损害的，应当赔偿医疗费、护理费、交通费、营养费、住院伙食补助费等为治疗和康复支付的合理费用，以及因误工减少的收入。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sz w:val="24"/>
        </w:rPr>
        <w:t>根据鉴定意见、医疗诊断书等证明需要对未成年人进行精神心理治疗和康复，所需的相关费用，应当认定为前款规定的合理费用。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第十五条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本解释规定的“负有特殊职责的人员”，是指对未成年人负有监护、收养、看护、教育、医疗等职责的人员，包括与未成年人具有共同生活关系且事实上负有照顾、保护等职责的人员。</w:t>
      </w:r>
    </w:p>
    <w:p w:rsidR="002525CE" w:rsidRPr="0053588E" w:rsidRDefault="009F0DE5" w:rsidP="0053588E">
      <w:pPr>
        <w:spacing w:line="340" w:lineRule="exact"/>
        <w:ind w:firstLineChars="200" w:firstLine="472"/>
        <w:rPr>
          <w:rFonts w:ascii="微软雅黑" w:eastAsia="微软雅黑" w:hAnsi="微软雅黑" w:cs="宋体"/>
          <w:sz w:val="24"/>
        </w:rPr>
      </w:pPr>
      <w:r w:rsidRPr="0053588E">
        <w:rPr>
          <w:rFonts w:ascii="微软雅黑" w:eastAsia="微软雅黑" w:hAnsi="微软雅黑" w:cs="宋体" w:hint="eastAsia"/>
          <w:b/>
          <w:sz w:val="24"/>
        </w:rPr>
        <w:t>第十六条</w:t>
      </w:r>
      <w:r w:rsidRPr="0053588E">
        <w:rPr>
          <w:rFonts w:ascii="微软雅黑" w:eastAsia="微软雅黑" w:hAnsi="微软雅黑" w:cs="宋体" w:hint="eastAsia"/>
          <w:sz w:val="24"/>
        </w:rPr>
        <w:t xml:space="preserve">　</w:t>
      </w:r>
      <w:r w:rsidRPr="0053588E">
        <w:rPr>
          <w:rFonts w:ascii="微软雅黑" w:eastAsia="微软雅黑" w:hAnsi="微软雅黑"/>
          <w:sz w:val="24"/>
        </w:rPr>
        <w:t>本</w:t>
      </w:r>
      <w:proofErr w:type="gramStart"/>
      <w:r w:rsidRPr="0053588E">
        <w:rPr>
          <w:rFonts w:ascii="微软雅黑" w:eastAsia="微软雅黑" w:hAnsi="微软雅黑"/>
          <w:sz w:val="24"/>
        </w:rPr>
        <w:t>解释自</w:t>
      </w:r>
      <w:proofErr w:type="gramEnd"/>
      <w:r w:rsidRPr="0053588E">
        <w:rPr>
          <w:rFonts w:ascii="微软雅黑" w:eastAsia="微软雅黑" w:hAnsi="微软雅黑"/>
          <w:sz w:val="24"/>
        </w:rPr>
        <w:t>2023年6月1日起施</w:t>
      </w:r>
      <w:r w:rsidRPr="0053588E">
        <w:rPr>
          <w:rFonts w:ascii="微软雅黑" w:eastAsia="微软雅黑" w:hAnsi="微软雅黑" w:cs="宋体" w:hint="eastAsia"/>
          <w:sz w:val="24"/>
        </w:rPr>
        <w:t>行。</w:t>
      </w:r>
    </w:p>
    <w:sectPr w:rsidR="002525CE" w:rsidRPr="0053588E" w:rsidSect="00780293">
      <w:footerReference w:type="even" r:id="rId6"/>
      <w:footerReference w:type="default" r:id="rId7"/>
      <w:pgSz w:w="11906" w:h="16838"/>
      <w:pgMar w:top="720" w:right="720" w:bottom="720" w:left="720" w:header="283" w:footer="283" w:gutter="0"/>
      <w:cols w:space="708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35" w:rsidRDefault="00365D35" w:rsidP="002525CE">
      <w:r>
        <w:separator/>
      </w:r>
    </w:p>
  </w:endnote>
  <w:endnote w:type="continuationSeparator" w:id="0">
    <w:p w:rsidR="00365D35" w:rsidRDefault="00365D35" w:rsidP="002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CE" w:rsidRDefault="009F0DE5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－</w:t>
    </w:r>
    <w:r w:rsidR="002525C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525CE">
      <w:rPr>
        <w:rFonts w:ascii="宋体" w:hAnsi="宋体"/>
        <w:sz w:val="28"/>
        <w:szCs w:val="28"/>
      </w:rPr>
      <w:fldChar w:fldCharType="separate"/>
    </w:r>
    <w:r w:rsidR="009A6579" w:rsidRPr="009A6579">
      <w:rPr>
        <w:rFonts w:ascii="宋体" w:hAnsi="宋体"/>
        <w:noProof/>
        <w:sz w:val="28"/>
        <w:szCs w:val="28"/>
        <w:lang w:val="zh-CN"/>
      </w:rPr>
      <w:t>2</w:t>
    </w:r>
    <w:r w:rsidR="002525C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CE" w:rsidRDefault="009F0DE5">
    <w:pPr>
      <w:pStyle w:val="a4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2525C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525CE">
      <w:rPr>
        <w:rFonts w:ascii="宋体" w:hAnsi="宋体"/>
        <w:sz w:val="28"/>
        <w:szCs w:val="28"/>
      </w:rPr>
      <w:fldChar w:fldCharType="separate"/>
    </w:r>
    <w:r w:rsidR="009A6579" w:rsidRPr="009A6579">
      <w:rPr>
        <w:rFonts w:ascii="宋体" w:hAnsi="宋体"/>
        <w:noProof/>
        <w:sz w:val="28"/>
        <w:szCs w:val="28"/>
        <w:lang w:val="zh-CN"/>
      </w:rPr>
      <w:t>1</w:t>
    </w:r>
    <w:r w:rsidR="002525C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35" w:rsidRDefault="00365D35" w:rsidP="002525CE">
      <w:r>
        <w:separator/>
      </w:r>
    </w:p>
  </w:footnote>
  <w:footnote w:type="continuationSeparator" w:id="0">
    <w:p w:rsidR="00365D35" w:rsidRDefault="00365D35" w:rsidP="002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WNiOWM4MTNkMDNkNTZjZDBlZTJkNmRiODUwMzY5ZD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525CE"/>
    <w:rsid w:val="00265F71"/>
    <w:rsid w:val="002E3D11"/>
    <w:rsid w:val="002F77E5"/>
    <w:rsid w:val="00307CD3"/>
    <w:rsid w:val="00315BE5"/>
    <w:rsid w:val="00353AD7"/>
    <w:rsid w:val="00365D35"/>
    <w:rsid w:val="003A0332"/>
    <w:rsid w:val="003F636B"/>
    <w:rsid w:val="00420DB2"/>
    <w:rsid w:val="0044207F"/>
    <w:rsid w:val="0048283C"/>
    <w:rsid w:val="004D5710"/>
    <w:rsid w:val="004F542C"/>
    <w:rsid w:val="0053588E"/>
    <w:rsid w:val="00550A4A"/>
    <w:rsid w:val="005667BC"/>
    <w:rsid w:val="005A4A7E"/>
    <w:rsid w:val="005C49EF"/>
    <w:rsid w:val="005F0A94"/>
    <w:rsid w:val="00610663"/>
    <w:rsid w:val="00616EB4"/>
    <w:rsid w:val="00624377"/>
    <w:rsid w:val="0066351E"/>
    <w:rsid w:val="006A6786"/>
    <w:rsid w:val="006B2EDC"/>
    <w:rsid w:val="006C7885"/>
    <w:rsid w:val="006D3381"/>
    <w:rsid w:val="006E600C"/>
    <w:rsid w:val="00780293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A6579"/>
    <w:rsid w:val="009D4E62"/>
    <w:rsid w:val="009F0DE5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DE798D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9A34AE0"/>
    <w:rsid w:val="0D9804AC"/>
    <w:rsid w:val="1DF816EF"/>
    <w:rsid w:val="2B436358"/>
    <w:rsid w:val="3DE63740"/>
    <w:rsid w:val="481351D2"/>
    <w:rsid w:val="53543565"/>
    <w:rsid w:val="558A062C"/>
    <w:rsid w:val="622F12CF"/>
    <w:rsid w:val="775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EB845"/>
  <w15:docId w15:val="{DEF7DD29-34E9-465B-B1A0-8CD11C82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CE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2525CE"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rsid w:val="002525C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52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styleId="a8">
    <w:name w:val="page number"/>
    <w:basedOn w:val="a0"/>
    <w:qFormat/>
    <w:rsid w:val="002525CE"/>
  </w:style>
  <w:style w:type="character" w:styleId="a9">
    <w:name w:val="FollowedHyperlink"/>
    <w:uiPriority w:val="99"/>
    <w:unhideWhenUsed/>
    <w:qFormat/>
    <w:rsid w:val="002525CE"/>
    <w:rPr>
      <w:color w:val="954F72"/>
      <w:u w:val="single"/>
    </w:rPr>
  </w:style>
  <w:style w:type="character" w:styleId="aa">
    <w:name w:val="Hyperlink"/>
    <w:uiPriority w:val="99"/>
    <w:qFormat/>
    <w:rsid w:val="002525CE"/>
    <w:rPr>
      <w:rFonts w:ascii="ˎ̥" w:hAnsi="ˎ̥" w:hint="default"/>
      <w:color w:val="0404B3"/>
      <w:sz w:val="18"/>
      <w:szCs w:val="18"/>
      <w:u w:val="none"/>
    </w:rPr>
  </w:style>
  <w:style w:type="character" w:customStyle="1" w:styleId="a5">
    <w:name w:val="页脚 字符"/>
    <w:link w:val="a4"/>
    <w:uiPriority w:val="99"/>
    <w:qFormat/>
    <w:rsid w:val="002525CE"/>
    <w:rPr>
      <w:sz w:val="18"/>
      <w:szCs w:val="18"/>
    </w:rPr>
  </w:style>
  <w:style w:type="character" w:customStyle="1" w:styleId="a7">
    <w:name w:val="页眉 字符"/>
    <w:link w:val="a6"/>
    <w:uiPriority w:val="99"/>
    <w:qFormat/>
    <w:rsid w:val="002525CE"/>
    <w:rPr>
      <w:sz w:val="18"/>
      <w:szCs w:val="18"/>
    </w:rPr>
  </w:style>
  <w:style w:type="paragraph" w:customStyle="1" w:styleId="ab">
    <w:name w:val="法 标题"/>
    <w:qFormat/>
    <w:rsid w:val="002525CE"/>
    <w:pPr>
      <w:widowControl w:val="0"/>
      <w:spacing w:line="560" w:lineRule="exact"/>
      <w:jc w:val="center"/>
    </w:pPr>
    <w:rPr>
      <w:rFonts w:ascii="仿宋_GB2312" w:hAnsi="仿宋_GB2312" w:cs="仿宋_GB2312"/>
      <w:kern w:val="2"/>
      <w:sz w:val="44"/>
      <w:szCs w:val="32"/>
    </w:rPr>
  </w:style>
  <w:style w:type="paragraph" w:customStyle="1" w:styleId="ac">
    <w:name w:val="法 法释后"/>
    <w:qFormat/>
    <w:rsid w:val="002525CE"/>
    <w:pPr>
      <w:widowControl w:val="0"/>
      <w:spacing w:line="560" w:lineRule="exact"/>
      <w:ind w:leftChars="300" w:left="300" w:rightChars="300" w:right="300"/>
      <w:jc w:val="both"/>
    </w:pPr>
    <w:rPr>
      <w:rFonts w:ascii="楷体_GB2312" w:eastAsia="楷体_GB2312" w:hAnsi="楷体" w:cs="宋体"/>
      <w:kern w:val="2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2009</Characters>
  <Application>Microsoft Office Word</Application>
  <DocSecurity>0</DocSecurity>
  <Lines>16</Lines>
  <Paragraphs>4</Paragraphs>
  <ScaleCrop>false</ScaleCrop>
  <Company>Newdaxie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17</cp:revision>
  <dcterms:created xsi:type="dcterms:W3CDTF">2017-11-15T02:33:00Z</dcterms:created>
  <dcterms:modified xsi:type="dcterms:W3CDTF">2025-08-25T08:49:00Z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2052-11.1.0.14309</vt:lpwstr>
  </property>
</Properties>
</file>